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C2" w:rsidRPr="006F5F41" w:rsidRDefault="0063570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28"/>
          <w:szCs w:val="28"/>
          <w:rtl/>
          <w:lang w:bidi="ar-JO"/>
        </w:rPr>
      </w:pPr>
      <w:r w:rsidRPr="006F5F41">
        <w:rPr>
          <w:rFonts w:cs="Sakkal Majalla"/>
          <w:b/>
          <w:bCs/>
          <w:color w:val="000000"/>
          <w:sz w:val="28"/>
          <w:szCs w:val="28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309"/>
        <w:gridCol w:w="1663"/>
        <w:gridCol w:w="1101"/>
        <w:gridCol w:w="178"/>
        <w:gridCol w:w="1756"/>
        <w:gridCol w:w="267"/>
        <w:gridCol w:w="1123"/>
      </w:tblGrid>
      <w:tr w:rsidR="008549C2" w:rsidRPr="006F5F41" w:rsidTr="006F5F41">
        <w:trPr>
          <w:trHeight w:val="1091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Pharmacy</w:t>
            </w: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:rsidR="008549C2" w:rsidRPr="006F5F41" w:rsidRDefault="00286701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t>Pharmaceutical Chemistry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7</w:t>
            </w:r>
          </w:p>
        </w:tc>
      </w:tr>
      <w:tr w:rsidR="00473A57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:rsidR="00EA4C02" w:rsidRPr="00EA4C02" w:rsidRDefault="00286701" w:rsidP="00EA4C02">
            <w:pPr>
              <w:spacing w:before="120" w:after="0" w:line="240" w:lineRule="auto"/>
              <w:jc w:val="both"/>
              <w:rPr>
                <w:rFonts w:eastAsia="Batang" w:cs="Times New Roman"/>
                <w:i/>
                <w:sz w:val="24"/>
                <w:szCs w:val="24"/>
              </w:rPr>
            </w:pPr>
            <w:r>
              <w:t>Medicinal Chemistry I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:rsidR="008549C2" w:rsidRPr="006F5F41" w:rsidRDefault="00286701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t>1703323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:rsidR="008549C2" w:rsidRPr="006F5F41" w:rsidRDefault="00286701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>
              <w:t>1702261</w:t>
            </w:r>
          </w:p>
        </w:tc>
      </w:tr>
      <w:tr w:rsidR="00473A57" w:rsidRPr="006F5F41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:rsidR="008549C2" w:rsidRPr="006F5F41" w:rsidRDefault="00D40B7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2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:rsidR="008549C2" w:rsidRPr="00473A57" w:rsidRDefault="008549C2" w:rsidP="003C3A2A">
            <w:pPr>
              <w:pStyle w:val="a9"/>
              <w:bidi w:val="0"/>
              <w:ind w:right="-90"/>
              <w:jc w:val="lowKashida"/>
              <w:rPr>
                <w:rFonts w:eastAsia="Batang"/>
                <w:iCs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Face to face </w:t>
            </w:r>
          </w:p>
        </w:tc>
      </w:tr>
      <w:tr w:rsidR="008549C2" w:rsidRPr="006F5F41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549C2" w:rsidRPr="006F5F41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Abstracted Course Description </w:t>
            </w:r>
          </w:p>
        </w:tc>
      </w:tr>
      <w:tr w:rsidR="008549C2" w:rsidRPr="006F5F41">
        <w:trPr>
          <w:trHeight w:val="397"/>
        </w:trPr>
        <w:tc>
          <w:tcPr>
            <w:tcW w:w="9782" w:type="dxa"/>
            <w:vAlign w:val="center"/>
          </w:tcPr>
          <w:p w:rsidR="008549C2" w:rsidRPr="006F5F41" w:rsidRDefault="00286701" w:rsidP="003C3A2A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>
              <w:t>The medicinal chemistry program is a program that introduces to understand the physicochemical properties of medicinal agents so that the student is able to relate this information to pharmacokinetic and pharmacodynamics properties</w:t>
            </w:r>
          </w:p>
        </w:tc>
      </w:tr>
      <w:tr w:rsidR="008549C2" w:rsidRPr="006F5F41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Course Goals</w:t>
            </w:r>
          </w:p>
        </w:tc>
      </w:tr>
      <w:tr w:rsidR="008549C2" w:rsidRPr="006F5F41">
        <w:trPr>
          <w:trHeight w:val="397"/>
        </w:trPr>
        <w:tc>
          <w:tcPr>
            <w:tcW w:w="9782" w:type="dxa"/>
            <w:vAlign w:val="center"/>
          </w:tcPr>
          <w:p w:rsidR="0005207D" w:rsidRDefault="00286701" w:rsidP="00EA4C02">
            <w:pPr>
              <w:spacing w:after="0" w:line="240" w:lineRule="auto"/>
              <w:ind w:right="-90"/>
            </w:pPr>
            <w:r>
              <w:t xml:space="preserve">1. Understand the physicochemical properties of medicinal agents, such as chemical bonding, ionization, </w:t>
            </w:r>
            <w:proofErr w:type="spellStart"/>
            <w:r>
              <w:t>lipophilicity</w:t>
            </w:r>
            <w:proofErr w:type="spellEnd"/>
            <w:r>
              <w:t xml:space="preserve"> and stereochemistry, so that the student is able to relate this information to absorption, distribution, receptor interactions and excretion.</w:t>
            </w:r>
          </w:p>
          <w:p w:rsidR="0005207D" w:rsidRDefault="00286701" w:rsidP="00EA4C02">
            <w:pPr>
              <w:spacing w:after="0" w:line="240" w:lineRule="auto"/>
              <w:ind w:right="-90"/>
            </w:pPr>
            <w:r>
              <w:t xml:space="preserve"> 2. Be Familiar with the importance and limitations of the partition coefficient as a tool in drug design. </w:t>
            </w:r>
            <w:proofErr w:type="spellStart"/>
            <w:r>
              <w:t>Mutah</w:t>
            </w:r>
            <w:proofErr w:type="spellEnd"/>
            <w:r>
              <w:t xml:space="preserve"> University Detailed Syllabus Form</w:t>
            </w:r>
          </w:p>
          <w:p w:rsidR="0005207D" w:rsidRDefault="00286701" w:rsidP="00EA4C02">
            <w:pPr>
              <w:spacing w:after="0" w:line="240" w:lineRule="auto"/>
              <w:ind w:right="-90"/>
            </w:pPr>
            <w:r>
              <w:t xml:space="preserve"> 3. Understand drug-receptor/active-site interactions and the various responses these interactions can induce.</w:t>
            </w:r>
          </w:p>
          <w:p w:rsidR="0005207D" w:rsidRDefault="00286701" w:rsidP="00EA4C02">
            <w:pPr>
              <w:spacing w:after="0" w:line="240" w:lineRule="auto"/>
              <w:ind w:right="-90"/>
            </w:pPr>
            <w:r>
              <w:t xml:space="preserve"> 4. Understand the rationale for </w:t>
            </w:r>
            <w:proofErr w:type="spellStart"/>
            <w:r>
              <w:t>prodrugs</w:t>
            </w:r>
            <w:proofErr w:type="spellEnd"/>
            <w:r>
              <w:t xml:space="preserve"> or soft drugs development.</w:t>
            </w:r>
          </w:p>
          <w:p w:rsidR="0005207D" w:rsidRDefault="00286701" w:rsidP="00EA4C02">
            <w:pPr>
              <w:spacing w:after="0" w:line="240" w:lineRule="auto"/>
              <w:ind w:right="-90"/>
            </w:pPr>
            <w:r>
              <w:t xml:space="preserve"> 5. Recognize functional groups that should be masked to obtain specific delivery objectives. </w:t>
            </w:r>
          </w:p>
          <w:p w:rsidR="0005207D" w:rsidRDefault="00286701" w:rsidP="00EA4C02">
            <w:pPr>
              <w:spacing w:after="0" w:line="240" w:lineRule="auto"/>
              <w:ind w:right="-90"/>
            </w:pPr>
            <w:r>
              <w:t xml:space="preserve">6. Recognize structural features that provide an opportunity for inserting metabolically sensitive functional groups. </w:t>
            </w:r>
          </w:p>
          <w:p w:rsidR="008549C2" w:rsidRPr="00286701" w:rsidRDefault="00286701" w:rsidP="00EA4C02">
            <w:pPr>
              <w:spacing w:after="0" w:line="240" w:lineRule="auto"/>
              <w:ind w:right="-90"/>
              <w:rPr>
                <w:rtl/>
              </w:rPr>
            </w:pPr>
            <w:r>
              <w:t>7. Know the most important pathways of drug metabolism and the enzymes involved, so that the student is able to relate this information to drug action, drug-drug interactions, and to some drug toxicities. The students should be also able to discuss role of these medicinal plants in the treatment of different disease conditions is also studied.</w:t>
            </w:r>
          </w:p>
        </w:tc>
      </w:tr>
    </w:tbl>
    <w:p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2918"/>
        <w:gridCol w:w="1640"/>
        <w:gridCol w:w="1605"/>
        <w:gridCol w:w="1567"/>
        <w:gridCol w:w="1575"/>
      </w:tblGrid>
      <w:tr w:rsidR="008549C2" w:rsidRPr="006F5F41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CILOs</w:t>
            </w:r>
          </w:p>
        </w:tc>
      </w:tr>
      <w:tr w:rsidR="008549C2" w:rsidRPr="006F5F41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Knowledge</w:t>
            </w:r>
          </w:p>
        </w:tc>
      </w:tr>
      <w:tr w:rsidR="008549C2" w:rsidRPr="006F5F41">
        <w:trPr>
          <w:trHeight w:val="397"/>
        </w:trPr>
        <w:tc>
          <w:tcPr>
            <w:tcW w:w="10206" w:type="dxa"/>
            <w:gridSpan w:val="6"/>
            <w:vAlign w:val="center"/>
          </w:tcPr>
          <w:p w:rsidR="00286701" w:rsidRDefault="00286701" w:rsidP="008C13AE">
            <w:pPr>
              <w:pStyle w:val="a7"/>
              <w:ind w:right="-90"/>
            </w:pPr>
            <w:r>
              <w:t xml:space="preserve">A.1 Define medicinal chemistry and what medicinal chemists know. </w:t>
            </w:r>
          </w:p>
          <w:p w:rsidR="00286701" w:rsidRDefault="00286701" w:rsidP="008C13AE">
            <w:pPr>
              <w:pStyle w:val="a7"/>
              <w:ind w:right="-90"/>
            </w:pPr>
            <w:r>
              <w:t xml:space="preserve">A.2 Define the major biological targets for drugs and how these drugs achieve their pharmacological effect </w:t>
            </w:r>
          </w:p>
          <w:p w:rsidR="00473A57" w:rsidRPr="00473A57" w:rsidRDefault="00286701" w:rsidP="008C13AE">
            <w:pPr>
              <w:pStyle w:val="a7"/>
              <w:ind w:right="-90"/>
              <w:rPr>
                <w:sz w:val="28"/>
                <w:szCs w:val="28"/>
                <w:lang w:bidi="ar-JO"/>
              </w:rPr>
            </w:pPr>
            <w:r>
              <w:t>A.3 Understand the covalent and non-covalent interactions of the body targets with small molecules such as drugs</w:t>
            </w:r>
          </w:p>
        </w:tc>
      </w:tr>
      <w:tr w:rsidR="008549C2" w:rsidRPr="006F5F41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Skills</w:t>
            </w:r>
          </w:p>
        </w:tc>
      </w:tr>
      <w:tr w:rsidR="008549C2" w:rsidRPr="006F5F41">
        <w:trPr>
          <w:trHeight w:val="397"/>
        </w:trPr>
        <w:tc>
          <w:tcPr>
            <w:tcW w:w="10206" w:type="dxa"/>
            <w:gridSpan w:val="6"/>
            <w:vAlign w:val="center"/>
          </w:tcPr>
          <w:p w:rsidR="00910DCC" w:rsidRDefault="00910DCC" w:rsidP="003C3A2A">
            <w:pPr>
              <w:shd w:val="clear" w:color="auto" w:fill="FFFFFF"/>
            </w:pPr>
            <w:r>
              <w:t xml:space="preserve">B.1 To differentiate the various pathways of drug receptor interactions and to reconcile these interactions with theoretical and experimental models. </w:t>
            </w:r>
          </w:p>
          <w:p w:rsidR="00910DCC" w:rsidRDefault="00910DCC" w:rsidP="003C3A2A">
            <w:pPr>
              <w:shd w:val="clear" w:color="auto" w:fill="FFFFFF"/>
            </w:pPr>
            <w:r>
              <w:t xml:space="preserve">B.2 To construct logical schemes for sequential movement of electrons in these processes. </w:t>
            </w:r>
          </w:p>
          <w:p w:rsidR="00682149" w:rsidRPr="003C3A2A" w:rsidRDefault="00910DCC" w:rsidP="003C3A2A">
            <w:pPr>
              <w:shd w:val="clear" w:color="auto" w:fill="FFFFFF"/>
              <w:rPr>
                <w:rFonts w:ascii="Times New Roman" w:hAnsi="Times New Roman"/>
                <w:szCs w:val="24"/>
                <w:rtl/>
              </w:rPr>
            </w:pPr>
            <w:r>
              <w:t>B.3 To predict good and poor candidates among several</w:t>
            </w:r>
          </w:p>
        </w:tc>
      </w:tr>
      <w:tr w:rsidR="008549C2" w:rsidRPr="006F5F41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Competencies</w:t>
            </w:r>
          </w:p>
        </w:tc>
      </w:tr>
      <w:tr w:rsidR="008549C2" w:rsidRPr="006F5F41">
        <w:trPr>
          <w:trHeight w:val="397"/>
        </w:trPr>
        <w:tc>
          <w:tcPr>
            <w:tcW w:w="10206" w:type="dxa"/>
            <w:gridSpan w:val="6"/>
            <w:vAlign w:val="center"/>
          </w:tcPr>
          <w:p w:rsidR="00910DCC" w:rsidRDefault="00910DCC" w:rsidP="00910DCC">
            <w:pPr>
              <w:bidi/>
              <w:spacing w:before="120" w:after="0" w:line="240" w:lineRule="auto"/>
              <w:jc w:val="right"/>
              <w:rPr>
                <w:rFonts w:ascii="Times New Roman" w:hAnsi="Times New Roman" w:cs="Simplified Arabic"/>
                <w:sz w:val="28"/>
                <w:szCs w:val="28"/>
                <w:rtl/>
                <w:lang w:bidi="ar-JO"/>
              </w:rPr>
            </w:pPr>
            <w:r>
              <w:t>C.1 Define drugs and their common targets, mechanism of action, pharmacodynamics and how drugs are transported and metabolized</w:t>
            </w:r>
          </w:p>
          <w:p w:rsidR="00910DCC" w:rsidRDefault="00910DCC" w:rsidP="00910DCC">
            <w:pPr>
              <w:bidi/>
              <w:spacing w:before="120" w:after="0" w:line="240" w:lineRule="auto"/>
              <w:jc w:val="right"/>
            </w:pPr>
            <w:r>
              <w:rPr>
                <w:lang w:bidi="ar-JO"/>
              </w:rPr>
              <w:t xml:space="preserve">C2 </w:t>
            </w:r>
            <w:r>
              <w:t>To work effectively both in team as well as separately as done during exams</w:t>
            </w:r>
          </w:p>
          <w:p w:rsidR="00910DCC" w:rsidRPr="006F5F41" w:rsidRDefault="00910DCC" w:rsidP="00910DCC">
            <w:pPr>
              <w:bidi/>
              <w:spacing w:before="120" w:after="0" w:line="240" w:lineRule="auto"/>
              <w:jc w:val="right"/>
              <w:rPr>
                <w:rFonts w:ascii="Times New Roman" w:hAnsi="Times New Roman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Simplified Arabic"/>
                <w:sz w:val="28"/>
                <w:szCs w:val="28"/>
                <w:lang w:bidi="ar-JO"/>
              </w:rPr>
              <w:t>C3</w:t>
            </w:r>
            <w:r>
              <w:t>Demonstrate written and oral communication skills via discussion.</w:t>
            </w:r>
          </w:p>
        </w:tc>
      </w:tr>
      <w:tr w:rsidR="008549C2" w:rsidRPr="006F5F41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Learning Methods</w:t>
            </w:r>
          </w:p>
        </w:tc>
      </w:tr>
      <w:tr w:rsidR="008549C2" w:rsidRPr="006F5F41">
        <w:trPr>
          <w:trHeight w:val="397"/>
        </w:trPr>
        <w:tc>
          <w:tcPr>
            <w:tcW w:w="10206" w:type="dxa"/>
            <w:gridSpan w:val="6"/>
            <w:vAlign w:val="center"/>
          </w:tcPr>
          <w:p w:rsidR="008549C2" w:rsidRPr="006F5F41" w:rsidRDefault="00635702">
            <w:pPr>
              <w:pStyle w:val="a4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cs="Simplified Arabic"/>
                <w:color w:val="000000"/>
                <w:sz w:val="28"/>
                <w:szCs w:val="28"/>
                <w:lang w:bidi="ar-JO"/>
              </w:rPr>
              <w:t xml:space="preserve">Lectures </w:t>
            </w:r>
          </w:p>
          <w:p w:rsidR="008549C2" w:rsidRPr="006F5F41" w:rsidRDefault="00682149">
            <w:pPr>
              <w:pStyle w:val="a4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 xml:space="preserve">Oral dissection </w:t>
            </w:r>
          </w:p>
          <w:p w:rsidR="008549C2" w:rsidRDefault="00EA4C02">
            <w:pPr>
              <w:pStyle w:val="a4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color w:val="000000"/>
                <w:sz w:val="28"/>
                <w:szCs w:val="28"/>
                <w:lang w:bidi="ar-JO"/>
              </w:rPr>
              <w:t xml:space="preserve">Assignment </w:t>
            </w:r>
          </w:p>
          <w:p w:rsidR="00682149" w:rsidRPr="006F5F41" w:rsidRDefault="00682149" w:rsidP="00682149">
            <w:pPr>
              <w:pStyle w:val="a4"/>
              <w:tabs>
                <w:tab w:val="left" w:pos="720"/>
              </w:tabs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Evaluation Tools</w:t>
            </w:r>
          </w:p>
        </w:tc>
      </w:tr>
      <w:tr w:rsidR="008549C2" w:rsidRPr="006F5F41">
        <w:trPr>
          <w:trHeight w:val="397"/>
        </w:trPr>
        <w:tc>
          <w:tcPr>
            <w:tcW w:w="10206" w:type="dxa"/>
            <w:gridSpan w:val="6"/>
            <w:vAlign w:val="center"/>
          </w:tcPr>
          <w:p w:rsidR="00E719B1" w:rsidRDefault="00635702" w:rsidP="00E719B1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Exams</w:t>
            </w:r>
          </w:p>
          <w:p w:rsidR="008549C2" w:rsidRPr="006F5F41" w:rsidRDefault="00E719B1" w:rsidP="00E719B1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  <w:t xml:space="preserve">Quiz </w:t>
            </w:r>
          </w:p>
        </w:tc>
      </w:tr>
      <w:tr w:rsidR="008549C2" w:rsidRPr="006F5F41" w:rsidTr="00702272">
        <w:trPr>
          <w:trHeight w:val="397"/>
        </w:trPr>
        <w:tc>
          <w:tcPr>
            <w:tcW w:w="901" w:type="dxa"/>
            <w:shd w:val="clear" w:color="auto" w:fill="D9D9D9"/>
            <w:vAlign w:val="center"/>
          </w:tcPr>
          <w:p w:rsidR="008549C2" w:rsidRPr="006F5F41" w:rsidRDefault="0063570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bookmarkStart w:id="0" w:name="_Hlk150538984"/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Week</w:t>
            </w:r>
          </w:p>
        </w:tc>
        <w:tc>
          <w:tcPr>
            <w:tcW w:w="2918" w:type="dxa"/>
            <w:shd w:val="clear" w:color="auto" w:fill="D9D9D9"/>
            <w:vAlign w:val="center"/>
          </w:tcPr>
          <w:p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Topics</w:t>
            </w:r>
          </w:p>
        </w:tc>
        <w:tc>
          <w:tcPr>
            <w:tcW w:w="1640" w:type="dxa"/>
            <w:shd w:val="clear" w:color="auto" w:fill="D9D9D9"/>
            <w:vAlign w:val="center"/>
          </w:tcPr>
          <w:p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Learning methods</w:t>
            </w:r>
          </w:p>
        </w:tc>
        <w:tc>
          <w:tcPr>
            <w:tcW w:w="1605" w:type="dxa"/>
            <w:shd w:val="clear" w:color="auto" w:fill="D9D9D9"/>
            <w:vAlign w:val="center"/>
          </w:tcPr>
          <w:p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Evaluation tool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ILOs</w:t>
            </w:r>
          </w:p>
        </w:tc>
        <w:tc>
          <w:tcPr>
            <w:tcW w:w="1575" w:type="dxa"/>
            <w:shd w:val="clear" w:color="auto" w:fill="D9D9D9"/>
            <w:vAlign w:val="center"/>
          </w:tcPr>
          <w:p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Hours</w:t>
            </w:r>
          </w:p>
        </w:tc>
      </w:tr>
      <w:tr w:rsidR="00B9303C" w:rsidRPr="006F5F41" w:rsidTr="00A7262C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1.</w:t>
            </w:r>
          </w:p>
        </w:tc>
        <w:tc>
          <w:tcPr>
            <w:tcW w:w="2918" w:type="dxa"/>
          </w:tcPr>
          <w:p w:rsidR="00B9303C" w:rsidRPr="00910DCC" w:rsidRDefault="00910DCC" w:rsidP="00910DC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 xml:space="preserve">Introduction to Medicinal </w:t>
            </w:r>
            <w:r>
              <w:lastRenderedPageBreak/>
              <w:t>Chemistry</w:t>
            </w:r>
          </w:p>
        </w:tc>
        <w:tc>
          <w:tcPr>
            <w:tcW w:w="1640" w:type="dxa"/>
          </w:tcPr>
          <w:p w:rsidR="00B9303C" w:rsidRPr="006F5F41" w:rsidRDefault="00A7262C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lastRenderedPageBreak/>
              <w:t>1&amp;2</w:t>
            </w:r>
          </w:p>
        </w:tc>
        <w:tc>
          <w:tcPr>
            <w:tcW w:w="160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QUIZ</w:t>
            </w: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702272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2.</w:t>
            </w:r>
          </w:p>
        </w:tc>
        <w:tc>
          <w:tcPr>
            <w:tcW w:w="2918" w:type="dxa"/>
            <w:vAlign w:val="center"/>
          </w:tcPr>
          <w:p w:rsidR="00B9303C" w:rsidRDefault="00910DC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trip through the Body: Absorption: oral, injection, Transdermal. Distribution: blood, membranes, blood-brain barrier, Partition coefficient. Pharmacodynamics. Metabolism and Elimination: kidneys, liver.</w:t>
            </w:r>
          </w:p>
        </w:tc>
        <w:tc>
          <w:tcPr>
            <w:tcW w:w="1640" w:type="dxa"/>
          </w:tcPr>
          <w:p w:rsidR="00B9303C" w:rsidRPr="006F5F41" w:rsidRDefault="00A7262C" w:rsidP="00A72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</w:t>
            </w:r>
          </w:p>
        </w:tc>
        <w:tc>
          <w:tcPr>
            <w:tcW w:w="160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702272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3.</w:t>
            </w:r>
          </w:p>
        </w:tc>
        <w:tc>
          <w:tcPr>
            <w:tcW w:w="2918" w:type="dxa"/>
            <w:vAlign w:val="center"/>
          </w:tcPr>
          <w:p w:rsidR="00910DCC" w:rsidRPr="00910DCC" w:rsidRDefault="00910DCC" w:rsidP="00910DC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910DCC">
              <w:rPr>
                <w:rFonts w:ascii="Times New Roman" w:hAnsi="Times New Roman" w:cs="Times New Roman"/>
                <w:color w:val="000000"/>
                <w:lang w:bidi="ar-EG"/>
              </w:rPr>
              <w:t xml:space="preserve">Trip through the Body: Absorption: oral, </w:t>
            </w:r>
          </w:p>
          <w:p w:rsidR="00910DCC" w:rsidRPr="00910DCC" w:rsidRDefault="00910DCC" w:rsidP="00910DC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910DCC">
              <w:rPr>
                <w:rFonts w:ascii="Times New Roman" w:hAnsi="Times New Roman" w:cs="Times New Roman"/>
                <w:color w:val="000000"/>
                <w:lang w:bidi="ar-EG"/>
              </w:rPr>
              <w:t xml:space="preserve">injection, Transdermal. Distribution: blood, </w:t>
            </w:r>
          </w:p>
          <w:p w:rsidR="00910DCC" w:rsidRPr="00910DCC" w:rsidRDefault="00910DCC" w:rsidP="00910DC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910DCC">
              <w:rPr>
                <w:rFonts w:ascii="Times New Roman" w:hAnsi="Times New Roman" w:cs="Times New Roman"/>
                <w:color w:val="000000"/>
                <w:lang w:bidi="ar-EG"/>
              </w:rPr>
              <w:t xml:space="preserve">membranes, blood-brain barrier, Partition </w:t>
            </w:r>
          </w:p>
          <w:p w:rsidR="00910DCC" w:rsidRPr="00910DCC" w:rsidRDefault="00910DCC" w:rsidP="00910DC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910DCC">
              <w:rPr>
                <w:rFonts w:ascii="Times New Roman" w:hAnsi="Times New Roman" w:cs="Times New Roman"/>
                <w:color w:val="000000"/>
                <w:lang w:bidi="ar-EG"/>
              </w:rPr>
              <w:t xml:space="preserve">coefficient. Pharmacodynamics. Metabolism </w:t>
            </w:r>
          </w:p>
          <w:p w:rsidR="00B9303C" w:rsidRDefault="00910DCC" w:rsidP="00910DC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910DCC">
              <w:rPr>
                <w:rFonts w:ascii="Times New Roman" w:hAnsi="Times New Roman" w:cs="Times New Roman"/>
                <w:color w:val="000000"/>
                <w:lang w:bidi="ar-EG"/>
              </w:rPr>
              <w:t>and Elimination: kidneys, liver.</w:t>
            </w:r>
          </w:p>
        </w:tc>
        <w:tc>
          <w:tcPr>
            <w:tcW w:w="1640" w:type="dxa"/>
          </w:tcPr>
          <w:p w:rsidR="00B9303C" w:rsidRPr="006F5F41" w:rsidRDefault="00A7262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</w:t>
            </w:r>
          </w:p>
        </w:tc>
        <w:tc>
          <w:tcPr>
            <w:tcW w:w="160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702272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4.</w:t>
            </w:r>
          </w:p>
        </w:tc>
        <w:tc>
          <w:tcPr>
            <w:tcW w:w="2918" w:type="dxa"/>
            <w:vAlign w:val="center"/>
          </w:tcPr>
          <w:p w:rsidR="00B9303C" w:rsidRPr="008B319E" w:rsidRDefault="00910DC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Review of organic functional groups, acidbase, chemical bonding, electron donating and withdrawing groups.</w:t>
            </w:r>
          </w:p>
        </w:tc>
        <w:tc>
          <w:tcPr>
            <w:tcW w:w="1640" w:type="dxa"/>
          </w:tcPr>
          <w:p w:rsidR="00B9303C" w:rsidRPr="006F5F41" w:rsidRDefault="00A7262C" w:rsidP="00A72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</w:t>
            </w:r>
          </w:p>
        </w:tc>
        <w:tc>
          <w:tcPr>
            <w:tcW w:w="160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702272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5.</w:t>
            </w:r>
          </w:p>
        </w:tc>
        <w:tc>
          <w:tcPr>
            <w:tcW w:w="2918" w:type="dxa"/>
            <w:vAlign w:val="center"/>
          </w:tcPr>
          <w:p w:rsidR="00B9303C" w:rsidRPr="008B319E" w:rsidRDefault="00910DC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Review of organic functional groups, acidbase, chemical bonding, electron donating and withdrawing groups</w:t>
            </w:r>
          </w:p>
        </w:tc>
        <w:tc>
          <w:tcPr>
            <w:tcW w:w="1640" w:type="dxa"/>
          </w:tcPr>
          <w:p w:rsidR="00B9303C" w:rsidRPr="006F5F41" w:rsidRDefault="00A7262C" w:rsidP="00A72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</w:t>
            </w:r>
          </w:p>
        </w:tc>
        <w:tc>
          <w:tcPr>
            <w:tcW w:w="160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 </w:t>
            </w: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702272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6.</w:t>
            </w:r>
          </w:p>
        </w:tc>
        <w:tc>
          <w:tcPr>
            <w:tcW w:w="2918" w:type="dxa"/>
            <w:vAlign w:val="center"/>
          </w:tcPr>
          <w:p w:rsidR="00B9303C" w:rsidRPr="008B319E" w:rsidRDefault="00910DC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Acid-Base Concepts (Henderson-</w:t>
            </w:r>
            <w:proofErr w:type="spellStart"/>
            <w:r>
              <w:t>Hasselbach</w:t>
            </w:r>
            <w:proofErr w:type="spellEnd"/>
            <w:r>
              <w:t xml:space="preserve"> equation; Estimating </w:t>
            </w:r>
            <w:proofErr w:type="spellStart"/>
            <w:r>
              <w:t>pKa</w:t>
            </w:r>
            <w:proofErr w:type="spellEnd"/>
            <w:r>
              <w:t xml:space="preserve"> and </w:t>
            </w:r>
            <w:proofErr w:type="spellStart"/>
            <w:r>
              <w:t>pKb</w:t>
            </w:r>
            <w:proofErr w:type="spellEnd"/>
            <w:r>
              <w:t>).</w:t>
            </w:r>
          </w:p>
        </w:tc>
        <w:tc>
          <w:tcPr>
            <w:tcW w:w="1640" w:type="dxa"/>
          </w:tcPr>
          <w:p w:rsidR="00B9303C" w:rsidRPr="006F5F41" w:rsidRDefault="00A7262C" w:rsidP="00A72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</w:t>
            </w:r>
          </w:p>
        </w:tc>
        <w:tc>
          <w:tcPr>
            <w:tcW w:w="160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</w:t>
            </w: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9303C" w:rsidRPr="006F5F41" w:rsidTr="00702272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7.</w:t>
            </w:r>
          </w:p>
        </w:tc>
        <w:tc>
          <w:tcPr>
            <w:tcW w:w="2918" w:type="dxa"/>
            <w:vAlign w:val="center"/>
          </w:tcPr>
          <w:p w:rsidR="00B9303C" w:rsidRDefault="00910DC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 xml:space="preserve">Drug-Targets interaction - Forces in Drug/Receptor </w:t>
            </w:r>
            <w:r>
              <w:lastRenderedPageBreak/>
              <w:t>complex interaction</w:t>
            </w:r>
          </w:p>
        </w:tc>
        <w:tc>
          <w:tcPr>
            <w:tcW w:w="1640" w:type="dxa"/>
          </w:tcPr>
          <w:p w:rsidR="00B9303C" w:rsidRPr="006F5F41" w:rsidRDefault="00A7262C" w:rsidP="00A72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lastRenderedPageBreak/>
              <w:t>1</w:t>
            </w:r>
          </w:p>
        </w:tc>
        <w:tc>
          <w:tcPr>
            <w:tcW w:w="1605" w:type="dxa"/>
            <w:vMerge w:val="restart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</w:t>
            </w:r>
          </w:p>
        </w:tc>
        <w:tc>
          <w:tcPr>
            <w:tcW w:w="1575" w:type="dxa"/>
            <w:vAlign w:val="center"/>
          </w:tcPr>
          <w:p w:rsidR="00B9303C" w:rsidRPr="006F5F41" w:rsidRDefault="00B9303C" w:rsidP="00B93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702272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8.</w:t>
            </w:r>
          </w:p>
        </w:tc>
        <w:tc>
          <w:tcPr>
            <w:tcW w:w="2918" w:type="dxa"/>
            <w:vAlign w:val="center"/>
          </w:tcPr>
          <w:p w:rsidR="00B9303C" w:rsidRDefault="00910DC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 xml:space="preserve">Review of Stereochemistry Related to Drug </w:t>
            </w:r>
            <w:proofErr w:type="spellStart"/>
            <w:r>
              <w:t>Action:Geometric</w:t>
            </w:r>
            <w:proofErr w:type="spellEnd"/>
            <w:r>
              <w:t xml:space="preserve"> isomers, optical isomers, conformational isomers, </w:t>
            </w:r>
            <w:proofErr w:type="spellStart"/>
            <w:r>
              <w:t>isosterism</w:t>
            </w:r>
            <w:proofErr w:type="spellEnd"/>
            <w:r>
              <w:t xml:space="preserve"> and </w:t>
            </w:r>
            <w:proofErr w:type="spellStart"/>
            <w:r>
              <w:t>bioisosterism</w:t>
            </w:r>
            <w:proofErr w:type="spellEnd"/>
          </w:p>
        </w:tc>
        <w:tc>
          <w:tcPr>
            <w:tcW w:w="1640" w:type="dxa"/>
          </w:tcPr>
          <w:p w:rsidR="00B9303C" w:rsidRPr="006F5F41" w:rsidRDefault="00A7262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3&amp;4</w:t>
            </w:r>
          </w:p>
        </w:tc>
        <w:tc>
          <w:tcPr>
            <w:tcW w:w="1605" w:type="dxa"/>
            <w:vMerge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702272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9.</w:t>
            </w:r>
          </w:p>
        </w:tc>
        <w:tc>
          <w:tcPr>
            <w:tcW w:w="2918" w:type="dxa"/>
            <w:vAlign w:val="center"/>
          </w:tcPr>
          <w:p w:rsidR="00B9303C" w:rsidRPr="008B319E" w:rsidRDefault="00910DC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 xml:space="preserve">Review of Stereochemistry Related to Drug </w:t>
            </w:r>
            <w:proofErr w:type="spellStart"/>
            <w:r>
              <w:t>Action:Geometric</w:t>
            </w:r>
            <w:proofErr w:type="spellEnd"/>
            <w:r>
              <w:t xml:space="preserve"> isomers, optical isomers, conformational isomers, </w:t>
            </w:r>
            <w:proofErr w:type="spellStart"/>
            <w:r>
              <w:t>isosterism</w:t>
            </w:r>
            <w:proofErr w:type="spellEnd"/>
            <w:r>
              <w:t xml:space="preserve"> and </w:t>
            </w:r>
            <w:proofErr w:type="spellStart"/>
            <w:r>
              <w:t>bioisosterism</w:t>
            </w:r>
            <w:proofErr w:type="spellEnd"/>
            <w:r>
              <w:t>.</w:t>
            </w:r>
          </w:p>
        </w:tc>
        <w:tc>
          <w:tcPr>
            <w:tcW w:w="1640" w:type="dxa"/>
          </w:tcPr>
          <w:p w:rsidR="00B9303C" w:rsidRPr="006F5F41" w:rsidRDefault="00A7262C" w:rsidP="00A72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3&amp;4</w:t>
            </w:r>
          </w:p>
        </w:tc>
        <w:tc>
          <w:tcPr>
            <w:tcW w:w="1605" w:type="dxa"/>
            <w:vMerge w:val="restart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702272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10.</w:t>
            </w:r>
          </w:p>
        </w:tc>
        <w:tc>
          <w:tcPr>
            <w:tcW w:w="2918" w:type="dxa"/>
            <w:vAlign w:val="center"/>
          </w:tcPr>
          <w:p w:rsidR="00B9303C" w:rsidRPr="008B319E" w:rsidRDefault="00910DC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Receptors as Drug Targets - Receptors: Introduction - Receptor Classification: ion channels, Gproteins, Tyr kinase, nuclear - Types of Ligands: agonists, antagonists, inverse agonists - Receptor Theories: occupancy, rate, residence time, induced-fit, macromolecular perturbation, activation-aggregation</w:t>
            </w:r>
          </w:p>
        </w:tc>
        <w:tc>
          <w:tcPr>
            <w:tcW w:w="1640" w:type="dxa"/>
          </w:tcPr>
          <w:p w:rsidR="00B9303C" w:rsidRPr="006F5F41" w:rsidRDefault="00A72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1</w:t>
            </w:r>
          </w:p>
        </w:tc>
        <w:tc>
          <w:tcPr>
            <w:tcW w:w="1605" w:type="dxa"/>
            <w:vMerge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702272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11.</w:t>
            </w:r>
          </w:p>
        </w:tc>
        <w:tc>
          <w:tcPr>
            <w:tcW w:w="2918" w:type="dxa"/>
            <w:vAlign w:val="center"/>
          </w:tcPr>
          <w:p w:rsidR="00B9303C" w:rsidRPr="008B319E" w:rsidRDefault="00910DC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Receptors as Drug Targets - Receptors: Introduction - Receptor Classification: ion channels, Gproteins, Tyr kinase, nuclear  Types of Ligands: agonists, antagonists, inverse agonists - Receptor Theories: occupancy, rate, residence time, induced-fit, macromolecular perturbation, activation-</w:t>
            </w:r>
            <w:r>
              <w:lastRenderedPageBreak/>
              <w:t>aggregation</w:t>
            </w:r>
          </w:p>
        </w:tc>
        <w:tc>
          <w:tcPr>
            <w:tcW w:w="1640" w:type="dxa"/>
          </w:tcPr>
          <w:p w:rsidR="00B9303C" w:rsidRPr="006F5F41" w:rsidRDefault="00A72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lastRenderedPageBreak/>
              <w:t>1</w:t>
            </w:r>
          </w:p>
        </w:tc>
        <w:tc>
          <w:tcPr>
            <w:tcW w:w="1605" w:type="dxa"/>
            <w:vMerge w:val="restart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homework</w:t>
            </w: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:rsidR="00B9303C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9303C" w:rsidRPr="006F5F41" w:rsidTr="00A7262C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12.</w:t>
            </w:r>
          </w:p>
        </w:tc>
        <w:tc>
          <w:tcPr>
            <w:tcW w:w="2918" w:type="dxa"/>
          </w:tcPr>
          <w:p w:rsidR="00B9303C" w:rsidRPr="008B319E" w:rsidRDefault="00910DCC" w:rsidP="00910DC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proofErr w:type="spellStart"/>
            <w:r>
              <w:t>Prodrugs</w:t>
            </w:r>
            <w:proofErr w:type="spellEnd"/>
            <w:r>
              <w:t xml:space="preserve"> and drug </w:t>
            </w:r>
            <w:proofErr w:type="spellStart"/>
            <w:r>
              <w:t>Latentiation</w:t>
            </w:r>
            <w:proofErr w:type="spellEnd"/>
          </w:p>
        </w:tc>
        <w:tc>
          <w:tcPr>
            <w:tcW w:w="1640" w:type="dxa"/>
          </w:tcPr>
          <w:p w:rsidR="00B9303C" w:rsidRPr="006F5F41" w:rsidRDefault="00A7262C" w:rsidP="00A72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</w:t>
            </w:r>
          </w:p>
        </w:tc>
        <w:tc>
          <w:tcPr>
            <w:tcW w:w="1605" w:type="dxa"/>
            <w:vMerge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A7262C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13.</w:t>
            </w:r>
          </w:p>
        </w:tc>
        <w:tc>
          <w:tcPr>
            <w:tcW w:w="2918" w:type="dxa"/>
          </w:tcPr>
          <w:p w:rsidR="00B9303C" w:rsidRPr="00801AED" w:rsidRDefault="00910DC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Structure-Activity Relationships</w:t>
            </w:r>
          </w:p>
        </w:tc>
        <w:tc>
          <w:tcPr>
            <w:tcW w:w="1640" w:type="dxa"/>
          </w:tcPr>
          <w:p w:rsidR="00B9303C" w:rsidRPr="006F5F41" w:rsidRDefault="00A7262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</w:t>
            </w:r>
          </w:p>
        </w:tc>
        <w:tc>
          <w:tcPr>
            <w:tcW w:w="160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Abc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A7262C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14</w:t>
            </w: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</w:t>
            </w:r>
          </w:p>
        </w:tc>
        <w:tc>
          <w:tcPr>
            <w:tcW w:w="2918" w:type="dxa"/>
          </w:tcPr>
          <w:p w:rsidR="00B9303C" w:rsidRDefault="00B9303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E66BBB">
              <w:rPr>
                <w:rFonts w:ascii="Times New Roman" w:hAnsi="Times New Roman" w:cs="Times New Roman"/>
                <w:color w:val="000000"/>
                <w:lang w:bidi="ar-EG"/>
              </w:rPr>
              <w:t>Health care and pharmacy practice in Jordan</w:t>
            </w:r>
          </w:p>
          <w:p w:rsidR="00A7262C" w:rsidRDefault="00A7262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Lead optimization</w:t>
            </w:r>
          </w:p>
          <w:p w:rsidR="00A7262C" w:rsidRPr="00801AED" w:rsidRDefault="00A7262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Drug design: optimizing access to the target</w:t>
            </w:r>
          </w:p>
        </w:tc>
        <w:tc>
          <w:tcPr>
            <w:tcW w:w="1640" w:type="dxa"/>
          </w:tcPr>
          <w:p w:rsidR="00B9303C" w:rsidRPr="006F5F41" w:rsidRDefault="00A7262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1</w:t>
            </w:r>
          </w:p>
        </w:tc>
        <w:tc>
          <w:tcPr>
            <w:tcW w:w="160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:rsidTr="00A7262C">
        <w:trPr>
          <w:trHeight w:val="397"/>
        </w:trPr>
        <w:tc>
          <w:tcPr>
            <w:tcW w:w="901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15.</w:t>
            </w:r>
          </w:p>
        </w:tc>
        <w:tc>
          <w:tcPr>
            <w:tcW w:w="2918" w:type="dxa"/>
          </w:tcPr>
          <w:p w:rsidR="00B9303C" w:rsidRPr="00801AED" w:rsidRDefault="00A7262C" w:rsidP="00A7262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Final exam</w:t>
            </w:r>
          </w:p>
        </w:tc>
        <w:tc>
          <w:tcPr>
            <w:tcW w:w="1640" w:type="dxa"/>
          </w:tcPr>
          <w:p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05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303C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bookmarkEnd w:id="0"/>
    </w:tbl>
    <w:p w:rsidR="008549C2" w:rsidRPr="006F5F41" w:rsidRDefault="008549C2">
      <w:pPr>
        <w:rPr>
          <w:sz w:val="28"/>
          <w:szCs w:val="28"/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6"/>
        <w:gridCol w:w="7016"/>
      </w:tblGrid>
      <w:tr w:rsidR="008549C2" w:rsidRPr="006F5F41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4"/>
              <w:gridCol w:w="2890"/>
              <w:gridCol w:w="1128"/>
              <w:gridCol w:w="559"/>
              <w:gridCol w:w="559"/>
              <w:gridCol w:w="559"/>
              <w:gridCol w:w="543"/>
              <w:gridCol w:w="543"/>
              <w:gridCol w:w="543"/>
              <w:gridCol w:w="559"/>
              <w:gridCol w:w="559"/>
              <w:gridCol w:w="1050"/>
            </w:tblGrid>
            <w:tr w:rsidR="008549C2" w:rsidRPr="006F5F41">
              <w:trPr>
                <w:trHeight w:val="397"/>
              </w:trPr>
              <w:tc>
                <w:tcPr>
                  <w:tcW w:w="10206" w:type="dxa"/>
                  <w:gridSpan w:val="1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695916" w:rsidRPr="006F5F41" w:rsidTr="00695916">
              <w:trPr>
                <w:trHeight w:val="397"/>
              </w:trPr>
              <w:tc>
                <w:tcPr>
                  <w:tcW w:w="3604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47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695916" w:rsidRPr="006F5F41" w:rsidTr="00695916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A2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A3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B1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B3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C3</w:t>
                  </w: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12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30%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Final Exam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50%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 w:rsidP="00B9303C">
                  <w:pPr>
                    <w:bidi/>
                    <w:spacing w:before="120"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5474" w:type="dxa"/>
                  <w:gridSpan w:val="9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714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Homework/Tasks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Group 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Laboratory Exams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Presentations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Quizzes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Others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7262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Total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8549C2" w:rsidRPr="006F5F41" w:rsidTr="0060261E">
        <w:trPr>
          <w:trHeight w:val="1034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Book</w:t>
            </w:r>
          </w:p>
        </w:tc>
        <w:tc>
          <w:tcPr>
            <w:tcW w:w="7371" w:type="dxa"/>
            <w:vAlign w:val="center"/>
          </w:tcPr>
          <w:p w:rsidR="00A7262C" w:rsidRDefault="00A7262C" w:rsidP="00A7262C">
            <w:pPr>
              <w:shd w:val="clear" w:color="auto" w:fill="FFFFFF"/>
            </w:pPr>
            <w:r>
              <w:t xml:space="preserve">1. An Introduction to Medicinal Chemistry, 5 </w:t>
            </w:r>
            <w:proofErr w:type="spellStart"/>
            <w:r>
              <w:t>rd</w:t>
            </w:r>
            <w:proofErr w:type="spellEnd"/>
            <w:r>
              <w:t xml:space="preserve"> edition; Graham L. Patrick; Oxford University Press Inc., New York, 2005</w:t>
            </w:r>
          </w:p>
          <w:p w:rsidR="00A7262C" w:rsidRDefault="00A7262C" w:rsidP="00A7262C">
            <w:pPr>
              <w:shd w:val="clear" w:color="auto" w:fill="FFFFFF"/>
            </w:pPr>
            <w:r>
              <w:t xml:space="preserve"> 2. </w:t>
            </w:r>
            <w:proofErr w:type="spellStart"/>
            <w:r>
              <w:t>Foye's</w:t>
            </w:r>
            <w:proofErr w:type="spellEnd"/>
            <w:r>
              <w:t xml:space="preserve"> Principles of Medicinal Chemistry, 5th edition; David A. Williams, </w:t>
            </w:r>
            <w:proofErr w:type="spellStart"/>
            <w:r>
              <w:t>WilliamO</w:t>
            </w:r>
            <w:proofErr w:type="spellEnd"/>
            <w:r>
              <w:t xml:space="preserve">. </w:t>
            </w:r>
            <w:proofErr w:type="spellStart"/>
            <w:r>
              <w:t>Foye</w:t>
            </w:r>
            <w:proofErr w:type="spellEnd"/>
            <w:r>
              <w:t xml:space="preserve">, Thomas L. Lemke; Lippincott Williams &amp; Wilkins: Philadelphia, 2002. </w:t>
            </w:r>
          </w:p>
          <w:p w:rsidR="00A7262C" w:rsidRDefault="00A7262C" w:rsidP="00A7262C">
            <w:pPr>
              <w:shd w:val="clear" w:color="auto" w:fill="FFFFFF"/>
            </w:pPr>
            <w:r>
              <w:t xml:space="preserve">3. Wilson and </w:t>
            </w:r>
            <w:proofErr w:type="spellStart"/>
            <w:r>
              <w:t>Gisvold's</w:t>
            </w:r>
            <w:proofErr w:type="spellEnd"/>
            <w:r>
              <w:t xml:space="preserve"> Textbook of Organic Medicinal and Pharmaceutical Chemistry, 11th edition; Delgado &amp; </w:t>
            </w:r>
            <w:proofErr w:type="spellStart"/>
            <w:r>
              <w:t>Remers</w:t>
            </w:r>
            <w:proofErr w:type="spellEnd"/>
            <w:r>
              <w:t xml:space="preserve">, Eds.; Lippincott Williams &amp; Wilkins: Philadelphia, 2004 ("W&amp;G"). </w:t>
            </w:r>
          </w:p>
          <w:p w:rsidR="00B9303C" w:rsidRPr="00315F6D" w:rsidRDefault="00A7262C" w:rsidP="00A7262C">
            <w:pPr>
              <w:shd w:val="clear" w:color="auto" w:fill="FFFFFF"/>
              <w:rPr>
                <w:rFonts w:ascii="Times New Roman" w:hAnsi="Times New Roman" w:cs="Times New Roman"/>
                <w:lang w:bidi="ar-EG"/>
              </w:rPr>
            </w:pPr>
            <w:r>
              <w:t xml:space="preserve">4. Organic Chemistry Paula </w:t>
            </w:r>
            <w:proofErr w:type="spellStart"/>
            <w:r>
              <w:t>Yurkanis</w:t>
            </w:r>
            <w:proofErr w:type="spellEnd"/>
            <w:r>
              <w:t xml:space="preserve"> </w:t>
            </w:r>
            <w:proofErr w:type="spellStart"/>
            <w:r>
              <w:t>Bruice</w:t>
            </w:r>
            <w:proofErr w:type="spellEnd"/>
            <w:r>
              <w:t xml:space="preserve">, 8th </w:t>
            </w:r>
            <w:proofErr w:type="spellStart"/>
            <w:r>
              <w:t>Editio</w:t>
            </w:r>
            <w:proofErr w:type="spellEnd"/>
          </w:p>
          <w:p w:rsidR="00B9303C" w:rsidRDefault="00B9303C" w:rsidP="00B9303C">
            <w:pPr>
              <w:spacing w:line="204" w:lineRule="auto"/>
              <w:ind w:left="-709" w:right="-709"/>
              <w:jc w:val="lowKashida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8549C2" w:rsidRPr="006F5F41" w:rsidRDefault="008549C2" w:rsidP="0060261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:rsidR="00A7262C" w:rsidRDefault="00A7262C" w:rsidP="00A7262C">
            <w:pPr>
              <w:shd w:val="clear" w:color="auto" w:fill="FFFFFF"/>
            </w:pPr>
            <w:r>
              <w:t xml:space="preserve">1. An Introduction to Medicinal Chemistry, 5 </w:t>
            </w:r>
            <w:proofErr w:type="spellStart"/>
            <w:r>
              <w:t>rd</w:t>
            </w:r>
            <w:proofErr w:type="spellEnd"/>
            <w:r>
              <w:t xml:space="preserve"> edition; Graham L. Patrick; Oxford University Press Inc., New York, 2005</w:t>
            </w:r>
          </w:p>
          <w:p w:rsidR="00A7262C" w:rsidRDefault="00A7262C" w:rsidP="00A7262C">
            <w:pPr>
              <w:shd w:val="clear" w:color="auto" w:fill="FFFFFF"/>
            </w:pPr>
            <w:r>
              <w:t xml:space="preserve"> 2. </w:t>
            </w:r>
            <w:proofErr w:type="spellStart"/>
            <w:r>
              <w:t>Foye's</w:t>
            </w:r>
            <w:proofErr w:type="spellEnd"/>
            <w:r>
              <w:t xml:space="preserve"> Principles of Medicinal Chemistry, 5th edition; David A. Williams, </w:t>
            </w:r>
            <w:proofErr w:type="spellStart"/>
            <w:r>
              <w:t>WilliamO</w:t>
            </w:r>
            <w:proofErr w:type="spellEnd"/>
            <w:r>
              <w:t xml:space="preserve">. </w:t>
            </w:r>
            <w:proofErr w:type="spellStart"/>
            <w:r>
              <w:t>Foye</w:t>
            </w:r>
            <w:proofErr w:type="spellEnd"/>
            <w:r>
              <w:t xml:space="preserve">, Thomas L. Lemke; Lippincott Williams &amp; Wilkins: Philadelphia, 2002. </w:t>
            </w:r>
          </w:p>
          <w:p w:rsidR="00A7262C" w:rsidRDefault="00A7262C" w:rsidP="00A7262C">
            <w:pPr>
              <w:shd w:val="clear" w:color="auto" w:fill="FFFFFF"/>
            </w:pPr>
            <w:r>
              <w:t xml:space="preserve">3. Wilson and </w:t>
            </w:r>
            <w:proofErr w:type="spellStart"/>
            <w:r>
              <w:t>Gisvold's</w:t>
            </w:r>
            <w:proofErr w:type="spellEnd"/>
            <w:r>
              <w:t xml:space="preserve"> Textbook of Organic Medicinal and Pharmaceutical Chemistry, 11th edition; Delgado &amp; </w:t>
            </w:r>
            <w:proofErr w:type="spellStart"/>
            <w:r>
              <w:t>Remers</w:t>
            </w:r>
            <w:proofErr w:type="spellEnd"/>
            <w:r>
              <w:t xml:space="preserve">, Eds.; Lippincott Williams &amp; Wilkins: Philadelphia, 2004 ("W&amp;G"). </w:t>
            </w:r>
          </w:p>
          <w:p w:rsidR="00A7262C" w:rsidRPr="00315F6D" w:rsidRDefault="00A7262C" w:rsidP="00A7262C">
            <w:pPr>
              <w:shd w:val="clear" w:color="auto" w:fill="FFFFFF"/>
              <w:rPr>
                <w:rFonts w:ascii="Times New Roman" w:hAnsi="Times New Roman" w:cs="Times New Roman"/>
                <w:lang w:bidi="ar-EG"/>
              </w:rPr>
            </w:pPr>
            <w:r>
              <w:t xml:space="preserve">4. Organic Chemistry Paula </w:t>
            </w:r>
            <w:proofErr w:type="spellStart"/>
            <w:r>
              <w:t>Yurkanis</w:t>
            </w:r>
            <w:proofErr w:type="spellEnd"/>
            <w:r>
              <w:t xml:space="preserve"> </w:t>
            </w:r>
            <w:proofErr w:type="spellStart"/>
            <w:r>
              <w:t>Bruice</w:t>
            </w:r>
            <w:proofErr w:type="spellEnd"/>
            <w:r>
              <w:t xml:space="preserve">, 8th </w:t>
            </w:r>
            <w:proofErr w:type="spellStart"/>
            <w:r>
              <w:t>Editio</w:t>
            </w:r>
            <w:proofErr w:type="spellEnd"/>
          </w:p>
          <w:p w:rsidR="00A7262C" w:rsidRDefault="00A7262C" w:rsidP="00A7262C">
            <w:pPr>
              <w:spacing w:line="204" w:lineRule="auto"/>
              <w:ind w:left="-709" w:right="-709"/>
              <w:jc w:val="lowKashida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8549C2" w:rsidRPr="00B9303C" w:rsidRDefault="008549C2" w:rsidP="00A7262C">
            <w:pPr>
              <w:shd w:val="clear" w:color="auto" w:fill="FFFFFF"/>
              <w:ind w:right="-90"/>
              <w:jc w:val="both"/>
              <w:rPr>
                <w:rFonts w:ascii="Times New Roman" w:hAnsi="Times New Roman"/>
                <w:szCs w:val="24"/>
                <w:rtl/>
                <w:lang w:bidi="ar-EG"/>
              </w:rPr>
            </w:pPr>
          </w:p>
          <w:p w:rsidR="0060261E" w:rsidRPr="006F5F41" w:rsidRDefault="0060261E" w:rsidP="0060261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Recommended Readings</w:t>
            </w:r>
          </w:p>
        </w:tc>
        <w:tc>
          <w:tcPr>
            <w:tcW w:w="7371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8549C2" w:rsidRPr="006F5F41" w:rsidRDefault="008549C2">
      <w:pPr>
        <w:rPr>
          <w:sz w:val="28"/>
          <w:szCs w:val="28"/>
          <w:lang w:bidi="ar-JO"/>
        </w:rPr>
      </w:pPr>
    </w:p>
    <w:p w:rsidR="008549C2" w:rsidRPr="00D40B78" w:rsidRDefault="00635702" w:rsidP="00D40B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Subject Coordinator:             </w:t>
      </w:r>
      <w:r w:rsidR="00D40B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bookmarkStart w:id="1" w:name="_GoBack"/>
      <w:bookmarkEnd w:id="1"/>
    </w:p>
    <w:p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Head of Curriculum Committee:</w:t>
      </w:r>
    </w:p>
    <w:p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Department Head:</w:t>
      </w:r>
    </w:p>
    <w:p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Faculty Dean: </w:t>
      </w:r>
    </w:p>
    <w:p w:rsidR="008549C2" w:rsidRPr="00E719B1" w:rsidRDefault="00E719B1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Last update date</w:t>
      </w:r>
    </w:p>
    <w:sectPr w:rsidR="008549C2" w:rsidRPr="00E719B1" w:rsidSect="00702272">
      <w:headerReference w:type="default" r:id="rId8"/>
      <w:pgSz w:w="12240" w:h="15840"/>
      <w:pgMar w:top="2552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83" w:rsidRDefault="00295683">
      <w:pPr>
        <w:spacing w:after="0" w:line="240" w:lineRule="auto"/>
      </w:pPr>
      <w:r>
        <w:separator/>
      </w:r>
    </w:p>
  </w:endnote>
  <w:endnote w:type="continuationSeparator" w:id="0">
    <w:p w:rsidR="00295683" w:rsidRDefault="0029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83" w:rsidRDefault="00295683">
      <w:pPr>
        <w:spacing w:after="0" w:line="240" w:lineRule="auto"/>
      </w:pPr>
      <w:r>
        <w:separator/>
      </w:r>
    </w:p>
  </w:footnote>
  <w:footnote w:type="continuationSeparator" w:id="0">
    <w:p w:rsidR="00295683" w:rsidRDefault="0029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C2" w:rsidRDefault="00702272">
    <w:pPr>
      <w:pStyle w:val="a5"/>
    </w:pPr>
    <w:r>
      <w:rPr>
        <w:noProof/>
      </w:rPr>
      <w:drawing>
        <wp:anchor distT="0" distB="0" distL="0" distR="0" simplePos="0" relativeHeight="3" behindDoc="0" locked="0" layoutInCell="1" allowOverlap="1" wp14:anchorId="14DF9284" wp14:editId="60048487">
          <wp:simplePos x="0" y="0"/>
          <wp:positionH relativeFrom="margin">
            <wp:posOffset>4782673</wp:posOffset>
          </wp:positionH>
          <wp:positionV relativeFrom="paragraph">
            <wp:posOffset>-1133406</wp:posOffset>
          </wp:positionV>
          <wp:extent cx="1687830" cy="1296035"/>
          <wp:effectExtent l="0" t="0" r="762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87830" cy="1296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" behindDoc="0" locked="0" layoutInCell="1" allowOverlap="1" wp14:anchorId="285D2030" wp14:editId="17A88F8E">
          <wp:simplePos x="0" y="0"/>
          <wp:positionH relativeFrom="margin">
            <wp:posOffset>-299085</wp:posOffset>
          </wp:positionH>
          <wp:positionV relativeFrom="paragraph">
            <wp:posOffset>-1266190</wp:posOffset>
          </wp:positionV>
          <wp:extent cx="1386205" cy="1265555"/>
          <wp:effectExtent l="0" t="0" r="4445" b="0"/>
          <wp:wrapNone/>
          <wp:docPr id="6" name="_x0000_t75" descr="Description: C:\Users\lamasat.lamasat-PC\Pictures\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386205" cy="12655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86436A"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38980451" wp14:editId="3AEA6713">
              <wp:simplePos x="0" y="0"/>
              <wp:positionH relativeFrom="margin">
                <wp:align>center</wp:align>
              </wp:positionH>
              <wp:positionV relativeFrom="paragraph">
                <wp:posOffset>-730250</wp:posOffset>
              </wp:positionV>
              <wp:extent cx="1918970" cy="666750"/>
              <wp:effectExtent l="0" t="3175" r="0" b="0"/>
              <wp:wrapNone/>
              <wp:docPr id="2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Mutah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University</w:t>
                          </w:r>
                        </w:p>
                        <w:p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Detailed Syllabus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-57.5pt;width:151.1pt;height:52.5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" stroked="f" strokeweight=".5pt">
              <v:textbox>
                <w:txbxContent>
                  <w:p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Mutah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University</w:t>
                    </w:r>
                  </w:p>
                  <w:p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Detailed Syllabus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6436A"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4D8120F6" wp14:editId="6DDA6E22">
              <wp:simplePos x="0" y="0"/>
              <wp:positionH relativeFrom="column">
                <wp:posOffset>-219075</wp:posOffset>
              </wp:positionH>
              <wp:positionV relativeFrom="paragraph">
                <wp:posOffset>152400</wp:posOffset>
              </wp:positionV>
              <wp:extent cx="6682105" cy="0"/>
              <wp:effectExtent l="9525" t="9525" r="13970" b="9525"/>
              <wp:wrapNone/>
              <wp:docPr id="1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1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4101" o:spid="_x0000_s1026" style="position:absolute;left:0;text-align:lef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7.25pt,12pt" to="508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" strokeweight="1.5pt">
              <v:stroke joinstyle="miter"/>
            </v:line>
          </w:pict>
        </mc:Fallback>
      </mc:AlternateContent>
    </w:r>
  </w:p>
  <w:p w:rsidR="008549C2" w:rsidRDefault="008549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2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4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000005"/>
    <w:multiLevelType w:val="hybridMultilevel"/>
    <w:tmpl w:val="AFA492DE"/>
    <w:lvl w:ilvl="0" w:tplc="E8046DF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B01EF37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904E9AEA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6A96907E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BFE09588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F9CCE38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F93E621A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DB7CC89C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0C61282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0000006"/>
    <w:multiLevelType w:val="hybridMultilevel"/>
    <w:tmpl w:val="A9989E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8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0000009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01B432E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B7780"/>
    <w:multiLevelType w:val="hybridMultilevel"/>
    <w:tmpl w:val="970C3720"/>
    <w:lvl w:ilvl="0" w:tplc="73BA16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02826E8"/>
    <w:multiLevelType w:val="hybridMultilevel"/>
    <w:tmpl w:val="7E505A22"/>
    <w:lvl w:ilvl="0" w:tplc="F230B2EC">
      <w:start w:val="1"/>
      <w:numFmt w:val="decimal"/>
      <w:lvlText w:val="A.%1."/>
      <w:lvlJc w:val="left"/>
      <w:pPr>
        <w:ind w:left="108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465CD6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B2CEA"/>
    <w:multiLevelType w:val="hybridMultilevel"/>
    <w:tmpl w:val="916C4852"/>
    <w:lvl w:ilvl="0" w:tplc="9E4C35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9D3BA7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  <w:num w:numId="13">
    <w:abstractNumId w:val="12"/>
  </w:num>
  <w:num w:numId="14">
    <w:abstractNumId w:val="14"/>
  </w:num>
  <w:num w:numId="15">
    <w:abstractNumId w:val="1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C2"/>
    <w:rsid w:val="0005207D"/>
    <w:rsid w:val="000D20D8"/>
    <w:rsid w:val="00246C55"/>
    <w:rsid w:val="00286701"/>
    <w:rsid w:val="00295683"/>
    <w:rsid w:val="00297A0D"/>
    <w:rsid w:val="00373850"/>
    <w:rsid w:val="003C3A2A"/>
    <w:rsid w:val="0047350A"/>
    <w:rsid w:val="00473A57"/>
    <w:rsid w:val="00583F3E"/>
    <w:rsid w:val="0060261E"/>
    <w:rsid w:val="00635702"/>
    <w:rsid w:val="00682149"/>
    <w:rsid w:val="00695916"/>
    <w:rsid w:val="006F5F41"/>
    <w:rsid w:val="00702272"/>
    <w:rsid w:val="007764FB"/>
    <w:rsid w:val="0077658B"/>
    <w:rsid w:val="008549C2"/>
    <w:rsid w:val="0086436A"/>
    <w:rsid w:val="008C13AE"/>
    <w:rsid w:val="00910DCC"/>
    <w:rsid w:val="00A7262C"/>
    <w:rsid w:val="00B9303C"/>
    <w:rsid w:val="00BB24DA"/>
    <w:rsid w:val="00C52955"/>
    <w:rsid w:val="00D40B78"/>
    <w:rsid w:val="00D833DD"/>
    <w:rsid w:val="00E64A9C"/>
    <w:rsid w:val="00E719B1"/>
    <w:rsid w:val="00EA3157"/>
    <w:rsid w:val="00EA4C02"/>
    <w:rsid w:val="00F21AF8"/>
    <w:rsid w:val="00F96DEF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a3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Pr>
      <w:rFonts w:cs="Times New Roman"/>
    </w:rPr>
  </w:style>
  <w:style w:type="paragraph" w:styleId="a6">
    <w:name w:val="footer"/>
    <w:basedOn w:val="a"/>
    <w:link w:val="Char1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Pr>
      <w:rFonts w:cs="Times New Roman"/>
    </w:rPr>
  </w:style>
  <w:style w:type="character" w:customStyle="1" w:styleId="a-size-extra-large">
    <w:name w:val="a-size-extra-large"/>
    <w:basedOn w:val="a0"/>
    <w:uiPriority w:val="99"/>
    <w:rPr>
      <w:rFonts w:cs="Times New Roman"/>
    </w:rPr>
  </w:style>
  <w:style w:type="character" w:styleId="Hyperlink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a0"/>
    <w:uiPriority w:val="99"/>
    <w:rPr>
      <w:rFonts w:cs="Times New Roman"/>
    </w:rPr>
  </w:style>
  <w:style w:type="character" w:customStyle="1" w:styleId="author">
    <w:name w:val="author"/>
    <w:basedOn w:val="a0"/>
    <w:uiPriority w:val="99"/>
    <w:rPr>
      <w:rFonts w:cs="Times New Roman"/>
    </w:rPr>
  </w:style>
  <w:style w:type="character" w:customStyle="1" w:styleId="a-color-secondary">
    <w:name w:val="a-color-secondary"/>
    <w:basedOn w:val="a0"/>
    <w:uiPriority w:val="99"/>
    <w:rPr>
      <w:rFonts w:cs="Times New Roman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Pr>
      <w:rFonts w:cs="Times New Roman"/>
      <w:i/>
    </w:rPr>
  </w:style>
  <w:style w:type="paragraph" w:styleId="a9">
    <w:name w:val="caption"/>
    <w:basedOn w:val="a"/>
    <w:next w:val="a"/>
    <w:qFormat/>
    <w:rsid w:val="00473A5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a3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Pr>
      <w:rFonts w:cs="Times New Roman"/>
    </w:rPr>
  </w:style>
  <w:style w:type="paragraph" w:styleId="a6">
    <w:name w:val="footer"/>
    <w:basedOn w:val="a"/>
    <w:link w:val="Char1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Pr>
      <w:rFonts w:cs="Times New Roman"/>
    </w:rPr>
  </w:style>
  <w:style w:type="character" w:customStyle="1" w:styleId="a-size-extra-large">
    <w:name w:val="a-size-extra-large"/>
    <w:basedOn w:val="a0"/>
    <w:uiPriority w:val="99"/>
    <w:rPr>
      <w:rFonts w:cs="Times New Roman"/>
    </w:rPr>
  </w:style>
  <w:style w:type="character" w:styleId="Hyperlink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a0"/>
    <w:uiPriority w:val="99"/>
    <w:rPr>
      <w:rFonts w:cs="Times New Roman"/>
    </w:rPr>
  </w:style>
  <w:style w:type="character" w:customStyle="1" w:styleId="author">
    <w:name w:val="author"/>
    <w:basedOn w:val="a0"/>
    <w:uiPriority w:val="99"/>
    <w:rPr>
      <w:rFonts w:cs="Times New Roman"/>
    </w:rPr>
  </w:style>
  <w:style w:type="character" w:customStyle="1" w:styleId="a-color-secondary">
    <w:name w:val="a-color-secondary"/>
    <w:basedOn w:val="a0"/>
    <w:uiPriority w:val="99"/>
    <w:rPr>
      <w:rFonts w:cs="Times New Roman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Pr>
      <w:rFonts w:cs="Times New Roman"/>
      <w:i/>
    </w:rPr>
  </w:style>
  <w:style w:type="paragraph" w:styleId="a9">
    <w:name w:val="caption"/>
    <w:basedOn w:val="a"/>
    <w:next w:val="a"/>
    <w:qFormat/>
    <w:rsid w:val="00473A5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E0F7FB-7BA2-42B9-8F20-A826E565BF0D}"/>
</file>

<file path=customXml/itemProps2.xml><?xml version="1.0" encoding="utf-8"?>
<ds:datastoreItem xmlns:ds="http://schemas.openxmlformats.org/officeDocument/2006/customXml" ds:itemID="{66227DC4-2FE9-4D77-B60E-2E3CEAA7AE8A}"/>
</file>

<file path=customXml/itemProps3.xml><?xml version="1.0" encoding="utf-8"?>
<ds:datastoreItem xmlns:ds="http://schemas.openxmlformats.org/officeDocument/2006/customXml" ds:itemID="{FB63DDB3-914B-4BF5-84F7-27D330FC5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GIZ</dc:creator>
  <cp:keywords/>
  <dc:description/>
  <cp:lastModifiedBy>pc</cp:lastModifiedBy>
  <cp:revision>2</cp:revision>
  <dcterms:created xsi:type="dcterms:W3CDTF">2023-12-01T11:03:00Z</dcterms:created>
  <dcterms:modified xsi:type="dcterms:W3CDTF">2023-12-03T09:12:00Z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638a82d957394131bc7a63ba411c9d69</vt:lpwstr>
  </property>
</Properties>
</file>